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22" w:type="pct"/>
        <w:tblCellSpacing w:w="60" w:type="dxa"/>
        <w:tblInd w:w="130" w:type="dxa"/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6"/>
        <w:gridCol w:w="6713"/>
      </w:tblGrid>
      <w:tr w:rsidR="001F716F" w14:paraId="3B1873A8" w14:textId="77777777">
        <w:trPr>
          <w:tblCellSpacing w:w="60" w:type="dxa"/>
        </w:trPr>
        <w:tc>
          <w:tcPr>
            <w:tcW w:w="1106" w:type="pct"/>
            <w:shd w:val="clear" w:color="auto" w:fill="E7F0F9"/>
          </w:tcPr>
          <w:p w14:paraId="267E176C" w14:textId="77777777" w:rsidR="001F716F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E5557DC" w14:textId="77777777" w:rsidR="001F716F" w:rsidRDefault="00000000">
            <w:pPr>
              <w:spacing w:after="0" w:line="240" w:lineRule="auto"/>
            </w:pPr>
            <w:r>
              <w:t>GRAD LUDBREG</w:t>
            </w:r>
          </w:p>
        </w:tc>
      </w:tr>
    </w:tbl>
    <w:p w14:paraId="3419BA9D" w14:textId="77777777" w:rsidR="001F716F" w:rsidRDefault="00000000">
      <w:r>
        <w:br/>
      </w:r>
    </w:p>
    <w:p w14:paraId="5A18F6EB" w14:textId="77777777" w:rsidR="001F716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AC58611" w14:textId="77777777" w:rsidR="001F716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6B4F4D8" w14:textId="77777777" w:rsidR="001F716F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7721E4EC" w14:textId="77777777" w:rsidR="001F716F" w:rsidRDefault="001F716F"/>
    <w:p w14:paraId="6A58257F" w14:textId="77777777" w:rsidR="001F716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2A36B67" w14:textId="77777777" w:rsidR="001F716F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p w14:paraId="625C2855" w14:textId="77777777" w:rsidR="001F716F" w:rsidRDefault="001F716F">
      <w:pPr>
        <w:spacing w:after="0"/>
      </w:pPr>
    </w:p>
    <w:p w14:paraId="04841D86" w14:textId="77777777" w:rsidR="001F716F" w:rsidRDefault="00000000">
      <w:pPr>
        <w:spacing w:line="240" w:lineRule="auto"/>
        <w:jc w:val="both"/>
      </w:pPr>
      <w:r>
        <w:t>Ukupni prihodi i primici Grada Ludbrega ostvareni u razdoblju od 1. siječnja od 30. lipnja 2025. godine iznosili su 4.491.399,76 €, odnosno 19,3% ili 726.058,39 € više nego prethodne 2024. godine. Na rast prihoda poslovanja u promatranom razdoblju najvećim je dijelom utjecalo uvećanje prihoda od poreza na dohodak, od komunalnih doprinosa i naknade te prihodi od pomoći fiskalnog izravnanja. Prihodi od prodaje nefinancijske imovine umanjeni za 97,5%. Ukupni rashodi i izdaci su iznosili 5.642.511,63 € što je za 11,7% ili 590.918,33 € više rashoda nego prošle godine. Rashodi poslovanja su rasli, a na to su utjecali povećanje rashoda za plaće zaposlenika, ostali nespomenuti rashodi poslovanja, subvencije trgovačkim društvima, rashodi za ostale naknade građanima i kućanstvima, rashodi za prijenose proračunskim korisnicima i rashoda za tekuće donacije, dok su rashodi za nabavu nefinancijske imovine uvećani su za 7,4% što dovodi do uvećanja ukupnih rashoda u promatranom razdoblju. Ostvaren je manjak prihoda u iznosu od 1.151.111,87 €. Manjak prihoda iz prethodnog razdoblja iznosi 82.240,80 €, tako da se u sljedeće razdoblje prenosi manjak u iznosu od 1.233.352,67 €.</w:t>
      </w:r>
      <w:r>
        <w:br/>
      </w:r>
    </w:p>
    <w:p w14:paraId="5B6D4C95" w14:textId="77777777" w:rsidR="001F716F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p w14:paraId="0B1FE518" w14:textId="77777777" w:rsidR="001F716F" w:rsidRDefault="00000000">
      <w:pPr>
        <w:spacing w:after="0"/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ab/>
        <w:t>PRIHODI POSLOVANJA (šifre 61+62+63+64+65+66+67+68)</w:t>
      </w:r>
    </w:p>
    <w:p w14:paraId="61A491F3" w14:textId="77777777" w:rsidR="001F716F" w:rsidRDefault="00000000">
      <w:pPr>
        <w:spacing w:line="240" w:lineRule="auto"/>
        <w:jc w:val="both"/>
        <w:rPr>
          <w:highlight w:val="yellow"/>
        </w:rPr>
      </w:pPr>
      <w:r>
        <w:t>Prihodi poslovanja Grada Ludbrega ostvareni u razdoblju od 1. siječnja od 30. lipnja 2025. godine iznosili su 4.479.028,75 €, odnosno 37,2% ili 1.213.243,18 € više nego prethodne 2024. godine. Na rast prihoda poslovanja u promatranom razdoblju najvećim je dijelom utjecalo uvećanje prihoda od poreza na dohodak, od komunalnih doprinosa i naknade te prihodi od pomoći fiskalnog izravnanja.</w:t>
      </w:r>
    </w:p>
    <w:p w14:paraId="017FF504" w14:textId="77777777" w:rsidR="001F716F" w:rsidRDefault="001F716F"/>
    <w:p w14:paraId="24E756D9" w14:textId="77777777" w:rsidR="001F716F" w:rsidRDefault="00000000">
      <w:pPr>
        <w:keepNext/>
        <w:spacing w:line="240" w:lineRule="auto"/>
        <w:jc w:val="center"/>
      </w:pPr>
      <w:r>
        <w:t>Bilješka 3.</w:t>
      </w:r>
    </w:p>
    <w:p w14:paraId="59FB85BE" w14:textId="77777777" w:rsidR="001F716F" w:rsidRDefault="00000000">
      <w:pPr>
        <w:keepNext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Porez na dohodak (šifre 6111 do 6116 - 6117 - 6119)</w:t>
      </w:r>
    </w:p>
    <w:p w14:paraId="2146B73C" w14:textId="77777777" w:rsidR="001F716F" w:rsidRDefault="00000000">
      <w:pPr>
        <w:keepNext/>
        <w:spacing w:line="240" w:lineRule="auto"/>
      </w:pPr>
      <w:r>
        <w:t xml:space="preserve">Prihodi od poreza na dohodak u razdoblju od 1. siječnja do 30. lipnja 2025. godine ostvareni su u iznosu od 2.743.434,09 €, odnosno 42,1% ili 813.115,98 € više u odnosu na iste prihode ostvarene u promatranom razdoblju 2024. godine. Na rast prihoda od poreza na dohodak je najviše utjecalo uvećanje prihoda od poreza na dohodak od nesamostalnog rada ostvarenih za 53,2% ili 1.027.770,74 € više nego u istom razdoblju 2024. godine, zatim ostvarenje prihoda koji nisu zabilježeni 2024. godine -  prihodi od poreza na dohodak od samostalnih djelatnosti </w:t>
      </w:r>
      <w:r>
        <w:lastRenderedPageBreak/>
        <w:t xml:space="preserve">u iznosu od 152.807,21 €, prihoda od poreza na dohodak od imovine i imovinskih prava ostvarenih u iznosu od 53.673,61 €, prihoda od poreza na dohodak od kapitala ostvarenih u iznosu od 142.917,07 € te prihoda od poreza na dohodak po godišnjoj prijavi koji su ostvareni u iznosu od 122.200,85 € te prihodi od </w:t>
      </w:r>
      <w:proofErr w:type="spellStart"/>
      <w:r>
        <w:t>povraat</w:t>
      </w:r>
      <w:proofErr w:type="spellEnd"/>
      <w:r>
        <w:t xml:space="preserve"> poreza na dohodak po godišnjoj prijavi u iznosu od 686.253,50 €.</w:t>
      </w:r>
    </w:p>
    <w:p w14:paraId="30F0357D" w14:textId="77777777" w:rsidR="001F716F" w:rsidRDefault="001F716F">
      <w:pPr>
        <w:keepNext/>
        <w:spacing w:line="240" w:lineRule="auto"/>
      </w:pPr>
    </w:p>
    <w:p w14:paraId="0A40DB33" w14:textId="77777777" w:rsidR="001F716F" w:rsidRDefault="00000000">
      <w:pPr>
        <w:keepNext/>
        <w:spacing w:line="240" w:lineRule="auto"/>
        <w:jc w:val="center"/>
      </w:pPr>
      <w:r>
        <w:t>Bilješka 4.</w:t>
      </w:r>
    </w:p>
    <w:p w14:paraId="7525DE62" w14:textId="77777777" w:rsidR="001F716F" w:rsidRDefault="00000000">
      <w:pPr>
        <w:keepNext/>
        <w:spacing w:line="240" w:lineRule="auto"/>
        <w:rPr>
          <w:b/>
          <w:bCs/>
        </w:rPr>
      </w:pPr>
      <w:r>
        <w:rPr>
          <w:b/>
          <w:bCs/>
        </w:rPr>
        <w:t>613 Porezi na imovinu (šifre 6131 do 6135)</w:t>
      </w:r>
    </w:p>
    <w:p w14:paraId="48D151E8" w14:textId="77777777" w:rsidR="001F716F" w:rsidRDefault="00000000">
      <w:pPr>
        <w:keepNext/>
        <w:spacing w:line="240" w:lineRule="auto"/>
      </w:pPr>
      <w:r>
        <w:t>Prihodi od poreza na imovinu u razdoblju od 1. siječnja do 30. lipnja 2025. godine ostvareni su u iznosu od 100.292,88 €, odnosno 33,7% ili 50.931,37 € manje u odnosu na iste prihode ostvarene u promatranom razdoblju 2024. godine. Na pad prihoda od poreza na imovinu utjecao je pad od prihoda od stalnih poreza na nepokretnu imovinu (zemlju, zgrade, kuće i ostalo - porez na nekretnine/porez na kuće za odmor) koji su ostvareni za 72,6% ili 31.573,62 € manje u odnosu na ostvarenje u istom razdoblju 2024. godine. Također, došlo je do umanjenja prihoda od povremenih poreza na imovinu za 18% ili 19.357,75 €.</w:t>
      </w:r>
    </w:p>
    <w:p w14:paraId="2140184F" w14:textId="77777777" w:rsidR="001F716F" w:rsidRDefault="001F716F">
      <w:pPr>
        <w:keepNext/>
        <w:spacing w:line="240" w:lineRule="auto"/>
      </w:pPr>
    </w:p>
    <w:p w14:paraId="32F15F2C" w14:textId="77777777" w:rsidR="001F716F" w:rsidRDefault="00000000">
      <w:pPr>
        <w:keepNext/>
        <w:spacing w:line="240" w:lineRule="auto"/>
        <w:jc w:val="center"/>
      </w:pPr>
      <w:r>
        <w:t>Bilješka 5.</w:t>
      </w:r>
    </w:p>
    <w:p w14:paraId="70DCF7F8" w14:textId="77777777" w:rsidR="001F716F" w:rsidRDefault="00000000">
      <w:pPr>
        <w:spacing w:after="0"/>
        <w:rPr>
          <w:b/>
          <w:bCs/>
        </w:rPr>
      </w:pPr>
      <w:r>
        <w:rPr>
          <w:b/>
          <w:bCs/>
        </w:rPr>
        <w:t>633</w:t>
      </w:r>
      <w:r>
        <w:rPr>
          <w:b/>
          <w:bCs/>
        </w:rPr>
        <w:tab/>
        <w:t>Pomoći proračunu i izvanproračunskim korisnicima iz drugih proračuna (šifre 6331+6332)</w:t>
      </w:r>
    </w:p>
    <w:p w14:paraId="6821CEE4" w14:textId="77777777" w:rsidR="001F716F" w:rsidRDefault="00000000">
      <w:pPr>
        <w:spacing w:line="240" w:lineRule="auto"/>
        <w:jc w:val="both"/>
      </w:pPr>
      <w:r>
        <w:t>Prihodi od pomoći proračunu iz drugih proračuna u razdoblju od 1. siječnja do 30. lipnja 2025. godine ostvareni su u iznosu od 51.331,62 €, odnosno 81,5% ili 225.623,08 € manje u odnosu na prihode od pomoći ostvarene u istom razdoblju 2024. godine. Na pad prihoda od pomoći u promatranom razdoblju najviše je utjecao izostanak tekućih pomoći iz državnog proračuna, dok su prihodi od kapitalnih pomoći iz županijskog proračuna ostvareni u iznosu od 51.331,62 € te nisu bili zabilježeni u istom razdoblju prošle godine.</w:t>
      </w:r>
    </w:p>
    <w:p w14:paraId="740AECF2" w14:textId="77777777" w:rsidR="001F716F" w:rsidRDefault="001F716F"/>
    <w:p w14:paraId="6231043C" w14:textId="77777777" w:rsidR="001F716F" w:rsidRDefault="00000000">
      <w:pPr>
        <w:jc w:val="center"/>
        <w:rPr>
          <w:b/>
          <w:bCs/>
        </w:rPr>
      </w:pPr>
      <w:r>
        <w:rPr>
          <w:b/>
          <w:bCs/>
        </w:rPr>
        <w:t>Bilješka 6.</w:t>
      </w:r>
    </w:p>
    <w:p w14:paraId="0D7C699C" w14:textId="77777777" w:rsidR="001F716F" w:rsidRDefault="00000000">
      <w:pPr>
        <w:rPr>
          <w:b/>
          <w:bCs/>
        </w:rPr>
      </w:pPr>
      <w:r>
        <w:rPr>
          <w:b/>
          <w:bCs/>
        </w:rPr>
        <w:t>635</w:t>
      </w:r>
      <w:r>
        <w:rPr>
          <w:b/>
          <w:bCs/>
        </w:rPr>
        <w:tab/>
        <w:t>Pomoći izravnanja za decentralizirane funkcije i fiskalnog izravnanja (šifre 6351 do 6353)</w:t>
      </w:r>
    </w:p>
    <w:p w14:paraId="78EC4A27" w14:textId="77777777" w:rsidR="001F716F" w:rsidRDefault="00000000">
      <w:r>
        <w:t xml:space="preserve">Prihodi od pomoći fiskalnog izravnanja u razdoblju od 1. siječnja do 30. lipnja 2025. godine ostvareni su u iznosu od 332.848,44 € te nisu bili ostvareni u istom razdoblju 2024. godine. </w:t>
      </w:r>
    </w:p>
    <w:p w14:paraId="1BE5BB1F" w14:textId="77777777" w:rsidR="001F716F" w:rsidRDefault="001F716F"/>
    <w:p w14:paraId="57485EF7" w14:textId="77777777" w:rsidR="001F716F" w:rsidRDefault="00000000">
      <w:pPr>
        <w:jc w:val="center"/>
        <w:rPr>
          <w:b/>
          <w:bCs/>
        </w:rPr>
      </w:pPr>
      <w:r>
        <w:rPr>
          <w:b/>
          <w:bCs/>
        </w:rPr>
        <w:t>Bilješka 7.</w:t>
      </w:r>
    </w:p>
    <w:p w14:paraId="0E70073F" w14:textId="77777777" w:rsidR="001F716F" w:rsidRDefault="00000000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Pomoći temeljem prijenosa EU sredstava (šifre 6381+6382)</w:t>
      </w:r>
    </w:p>
    <w:p w14:paraId="7AD2A35F" w14:textId="77777777" w:rsidR="001F716F" w:rsidRDefault="00000000">
      <w:r>
        <w:t xml:space="preserve">Prihodi pomoći temeljem prijenosa EU sredstava u razdoblju od 1. siječnja do 30. lipnja 2025. godine ostvareni su u iznosu od 250.662,50 €, odnosno 9,3% ili 25.725,81 € manje u odnosu na prihode od pomoći ostvarene u istom razdoblju 2024. godine. Na pad tih prihoda u promatranom razdoblju je utjecalo umanjenje prihoda od kapitalnih pomoći iz </w:t>
      </w:r>
      <w:proofErr w:type="spellStart"/>
      <w:r>
        <w:t>državog</w:t>
      </w:r>
      <w:proofErr w:type="spellEnd"/>
      <w:r>
        <w:t xml:space="preserve"> proračuna temeljem prijenosa EU sredstava.</w:t>
      </w:r>
    </w:p>
    <w:p w14:paraId="7DD26925" w14:textId="77777777" w:rsidR="001F716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p w14:paraId="0C18B78A" w14:textId="77777777" w:rsidR="001F716F" w:rsidRDefault="00000000">
      <w:pPr>
        <w:numPr>
          <w:ilvl w:val="0"/>
          <w:numId w:val="3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Komunalni doprinosi i naknade (šifre 6531 do 6533)</w:t>
      </w:r>
    </w:p>
    <w:p w14:paraId="2B45EFCB" w14:textId="77777777" w:rsidR="001F716F" w:rsidRDefault="00000000">
      <w:pPr>
        <w:spacing w:line="240" w:lineRule="auto"/>
        <w:jc w:val="both"/>
      </w:pPr>
      <w:r>
        <w:t xml:space="preserve">Prihodi od komunalnih doprinosa i naknade u razdoblju od 1. siječnja do 30. lipnja 2025. godine ostvareni su u iznosu od 808.359,45 €, odnosno 74,1% ili 344.081,11 € više u odnosu na iste prihode ostvarene u promatranom razdoblju 2024. godine. Na rast prihoda od komunalnih doprinosa i naknada najviše je utjecalo uvećanje prihoda od </w:t>
      </w:r>
      <w:proofErr w:type="spellStart"/>
      <w:r>
        <w:t>komunlnih</w:t>
      </w:r>
      <w:proofErr w:type="spellEnd"/>
      <w:r>
        <w:t xml:space="preserve"> doprinosa koji su ostvareni u iznosu od 338.312,31 €, odnosno 498,6% ili 281.799,37 € više u odnosu na isto razdoblje prošle godine; zatim uvećanje prihoda od komunalnih naknada koji su ostvareni u iznosu od 470.047,14 €, odnosno 15,3% ili 62.281,74 € više u odnosu na 2024. godinu.</w:t>
      </w:r>
    </w:p>
    <w:p w14:paraId="350CFD3D" w14:textId="77777777" w:rsidR="001F716F" w:rsidRDefault="001F716F">
      <w:pPr>
        <w:spacing w:line="240" w:lineRule="auto"/>
        <w:jc w:val="both"/>
      </w:pPr>
    </w:p>
    <w:p w14:paraId="4E5BD35E" w14:textId="77777777" w:rsidR="001F716F" w:rsidRDefault="00000000">
      <w:pPr>
        <w:keepNext/>
        <w:spacing w:line="240" w:lineRule="auto"/>
        <w:jc w:val="center"/>
        <w:rPr>
          <w:sz w:val="28"/>
        </w:rPr>
      </w:pPr>
      <w:r>
        <w:rPr>
          <w:sz w:val="28"/>
        </w:rPr>
        <w:t>Bilješka 9.</w:t>
      </w:r>
    </w:p>
    <w:p w14:paraId="33C89E8E" w14:textId="77777777" w:rsidR="001F716F" w:rsidRDefault="00000000">
      <w:pPr>
        <w:keepNext/>
        <w:numPr>
          <w:ilvl w:val="0"/>
          <w:numId w:val="4"/>
        </w:numPr>
        <w:spacing w:line="240" w:lineRule="auto"/>
        <w:rPr>
          <w:b/>
          <w:bCs/>
        </w:rPr>
      </w:pPr>
      <w:r>
        <w:rPr>
          <w:b/>
          <w:bCs/>
        </w:rPr>
        <w:t>Prihodi od prodaje nefinancijske imovine (šifre 71+72+73+74)</w:t>
      </w:r>
    </w:p>
    <w:p w14:paraId="32778C85" w14:textId="77777777" w:rsidR="001F716F" w:rsidRDefault="00000000">
      <w:pPr>
        <w:keepNext/>
        <w:spacing w:line="240" w:lineRule="auto"/>
      </w:pPr>
      <w:r>
        <w:t>Prihodi od prodaje nefinancijske imovine u razdoblju od 1. siječnja do 30. lipnja 2025. godine ostvareni su u iznosu od 12.371,01 €, odnosno 97,5% ili 487.184,79 € manje u odnosu na iste prihode ostvarene u promatranom razdoblju 2024. godine. Na pad prihoda je najviše utjecalo umanjenje prihoda od prodaje materijalne imovine - prirodnih bogatstava te u manjoj mjeri umanjenje prihoda od prodaje stambenih objekata.</w:t>
      </w:r>
    </w:p>
    <w:p w14:paraId="2F56A97A" w14:textId="77777777" w:rsidR="001F716F" w:rsidRDefault="001F716F">
      <w:pPr>
        <w:keepNext/>
        <w:spacing w:line="240" w:lineRule="auto"/>
      </w:pPr>
    </w:p>
    <w:p w14:paraId="2AB07B06" w14:textId="77777777" w:rsidR="001F716F" w:rsidRDefault="00000000">
      <w:pPr>
        <w:keepNext/>
        <w:spacing w:line="240" w:lineRule="auto"/>
        <w:jc w:val="center"/>
        <w:rPr>
          <w:b/>
          <w:bCs/>
        </w:rPr>
      </w:pPr>
      <w:r>
        <w:rPr>
          <w:b/>
          <w:bCs/>
        </w:rPr>
        <w:t>Bilješka 10.</w:t>
      </w:r>
    </w:p>
    <w:p w14:paraId="4F6C5684" w14:textId="77777777" w:rsidR="001F716F" w:rsidRDefault="00000000">
      <w:pPr>
        <w:keepNext/>
        <w:numPr>
          <w:ilvl w:val="0"/>
          <w:numId w:val="5"/>
        </w:numPr>
        <w:spacing w:line="240" w:lineRule="auto"/>
        <w:rPr>
          <w:b/>
          <w:bCs/>
        </w:rPr>
      </w:pPr>
      <w:r>
        <w:rPr>
          <w:b/>
          <w:bCs/>
        </w:rPr>
        <w:t>Prihodi od prodaje materijalne imovine - prirodnih bogatstava (šifre 7111 do 7113)</w:t>
      </w:r>
    </w:p>
    <w:p w14:paraId="0A3FEEC8" w14:textId="77777777" w:rsidR="001F716F" w:rsidRDefault="00000000">
      <w:pPr>
        <w:keepNext/>
        <w:spacing w:line="240" w:lineRule="auto"/>
      </w:pPr>
      <w:r>
        <w:t>Prihodi od prodaje materijalne imovine u razdoblju od 1. siječnja do 30. lipnja 2025. godine ostvareni su u iznosu od 11.327,81 €, odnosno za 97,7% ili 486.449,85 € manje u odnosu na iste prihode ostvarene u promatranom razdoblju 2024. godine. Na pad prihoda je utjecalo umanjenje prihoda od prodaje poljoprivrednih i građevinskih zemljišta.</w:t>
      </w:r>
    </w:p>
    <w:p w14:paraId="51B8268D" w14:textId="77777777" w:rsidR="001F716F" w:rsidRDefault="001F716F">
      <w:pPr>
        <w:keepNext/>
        <w:spacing w:line="240" w:lineRule="auto"/>
      </w:pPr>
    </w:p>
    <w:p w14:paraId="20ABDC65" w14:textId="77777777" w:rsidR="001F716F" w:rsidRDefault="001F716F">
      <w:pPr>
        <w:keepNext/>
        <w:spacing w:line="240" w:lineRule="auto"/>
      </w:pPr>
    </w:p>
    <w:p w14:paraId="7C32DB1D" w14:textId="77777777" w:rsidR="001F716F" w:rsidRDefault="00000000">
      <w:pPr>
        <w:keepNext/>
        <w:spacing w:line="240" w:lineRule="auto"/>
        <w:jc w:val="center"/>
        <w:rPr>
          <w:b/>
          <w:bCs/>
        </w:rPr>
      </w:pPr>
      <w:r>
        <w:rPr>
          <w:b/>
          <w:bCs/>
        </w:rPr>
        <w:t>Bilješka 11.</w:t>
      </w:r>
    </w:p>
    <w:p w14:paraId="460CF23A" w14:textId="77777777" w:rsidR="001F716F" w:rsidRDefault="00000000">
      <w:pPr>
        <w:spacing w:after="0"/>
      </w:pPr>
      <w:r>
        <w:rPr>
          <w:b/>
          <w:bCs/>
        </w:rPr>
        <w:t>3</w:t>
      </w:r>
      <w:r>
        <w:rPr>
          <w:b/>
          <w:bCs/>
        </w:rPr>
        <w:tab/>
        <w:t>RASHODI POSLOVANJA (šifre 31+32+34+35+36+37+38)</w:t>
      </w:r>
      <w:r>
        <w:t xml:space="preserve"> </w:t>
      </w:r>
    </w:p>
    <w:p w14:paraId="79B57D4C" w14:textId="77777777" w:rsidR="001F716F" w:rsidRDefault="00000000">
      <w:pPr>
        <w:spacing w:line="240" w:lineRule="auto"/>
        <w:jc w:val="both"/>
        <w:rPr>
          <w:highlight w:val="yellow"/>
        </w:rPr>
      </w:pPr>
      <w:r>
        <w:t>Rashodi poslovanja Grada Ludbrega ostvareni u razdoblju od 1. siječnja od 30. lipnja 2025. godine ostvareni su u iznosu od 3.440.113,62 €, odnosno 5,4% ili 175.082,24 € više nego prethodne 2024. godine. Na rast rashoda poslovanja je najviše utjecalo povećanje rashoda za plaće zaposlenika, ostali nespomenuti rashodi poslovanja, subvencije trgovačkim društvima, rashodi za ostale naknade građanima i kućanstvima, rashodi za prijenose proračunskim korisnicima i rashoda za tekuće donacije.</w:t>
      </w:r>
    </w:p>
    <w:p w14:paraId="4294D1D5" w14:textId="77777777" w:rsidR="001F716F" w:rsidRDefault="001F716F"/>
    <w:p w14:paraId="6242B0B8" w14:textId="77777777" w:rsidR="001F716F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p w14:paraId="3382629A" w14:textId="77777777" w:rsidR="001F716F" w:rsidRDefault="00000000">
      <w:pPr>
        <w:spacing w:after="0"/>
        <w:rPr>
          <w:b/>
          <w:bCs/>
        </w:rPr>
      </w:pPr>
      <w:r>
        <w:rPr>
          <w:b/>
          <w:bCs/>
        </w:rPr>
        <w:t>311</w:t>
      </w:r>
      <w:r>
        <w:rPr>
          <w:b/>
          <w:bCs/>
        </w:rPr>
        <w:tab/>
        <w:t xml:space="preserve">Plaće (bruto) (šifre 3111 do 3114) </w:t>
      </w:r>
    </w:p>
    <w:p w14:paraId="2C0D8D08" w14:textId="77777777" w:rsidR="001F716F" w:rsidRDefault="00000000">
      <w:pPr>
        <w:spacing w:line="240" w:lineRule="auto"/>
        <w:jc w:val="both"/>
      </w:pPr>
      <w:r>
        <w:lastRenderedPageBreak/>
        <w:t>Rashodi za plaće zaposlenika u razdoblju od 1. siječnja do 30. lipnja 2025. godine ostvareni su u iznosu od 296.613,45 €, odnosno 46,9% ili 94.698,9 € više u odnosu na rashode za plaće ostvarene u istom razdoblju 2024. godine. Na rast u promatranom razdoblju najvećim je dijelom utjecalo uvećanje rashoda za plaće za redovan rad zbog povećanja osnovice za izračun plaće.</w:t>
      </w:r>
    </w:p>
    <w:p w14:paraId="1EE832A4" w14:textId="77777777" w:rsidR="001F716F" w:rsidRDefault="001F716F"/>
    <w:p w14:paraId="4CEB8309" w14:textId="77777777" w:rsidR="001F716F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p w14:paraId="020ED8B9" w14:textId="77777777" w:rsidR="001F716F" w:rsidRDefault="00000000">
      <w:pPr>
        <w:spacing w:after="0"/>
        <w:rPr>
          <w:b/>
          <w:bCs/>
        </w:rPr>
      </w:pPr>
      <w:r>
        <w:rPr>
          <w:b/>
          <w:bCs/>
        </w:rPr>
        <w:t>323</w:t>
      </w:r>
      <w:r>
        <w:rPr>
          <w:b/>
          <w:bCs/>
        </w:rPr>
        <w:tab/>
        <w:t>Rashodi za usluge (šifre 3231 do 3239)</w:t>
      </w:r>
    </w:p>
    <w:p w14:paraId="0E9CECA1" w14:textId="77777777" w:rsidR="001F716F" w:rsidRDefault="00000000">
      <w:pPr>
        <w:spacing w:line="240" w:lineRule="auto"/>
        <w:jc w:val="both"/>
      </w:pPr>
      <w:r>
        <w:t>Rashodi za usluge u razdoblju od 1. siječnja do 30. lipnja 2025. godine ostvareni su u iznosu od 800.135,35 €, odnosno 16,3% ili 156.198,58 € manje u odnosu na iste rashode ostvarene u promatranom razdoblju 2024. godine. Na pad rashoda za usluge utjecalo je umanjenje rashoda za usluge telefona i poštarine za 67% ili 14.541,56 €, rashoda za usluge promidžbe i informiranja (tisak) za 73,4% ili 56.694,21 €, rashoda za zakupnine i najamnine (za prijevozna sredstva, građevinske objekte, opremu i licence) za 18,9% ili 15.607,90 €, rashoda za intelektualne i osobne usluge (geodetsko-katastarske, usluge odvjetnika, autorski honorari) za 68,5% ili 125.920,71 €, rashoda za računalne usluge (ažuriranje računalnih baza i ostale računalne usluge) te rashoda za ostale usluge (usluge čuvanja imovine i osoba, usluge pri registraciji prijevoznih vozila, grafičke i tiskarske usluge i ostalo). Rashodi za usluge tekućeg i investicijskog održavanja (postrojenja i opreme, građevinskih objekata i prijevoznih sredstava) su uvećani za 53,4%, rashodi za komunalne usluge (dimnjačarske, usluge, odvoz smeća, deratizacija i dezinsekcija, opskrba vodom) su uvećani za 58,8%,  rashodi za zdravstvene i veterinarske usluge (obvezni i preventivni zdravstveni pregledi zaposlenika, laboratorijske usluge, veterinarske usluge) su uvećani za 65,6%.</w:t>
      </w:r>
    </w:p>
    <w:p w14:paraId="352E918A" w14:textId="77777777" w:rsidR="001F716F" w:rsidRDefault="001F716F"/>
    <w:p w14:paraId="56923CB0" w14:textId="77777777" w:rsidR="001F716F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p w14:paraId="432F18CF" w14:textId="77777777" w:rsidR="001F716F" w:rsidRDefault="00000000">
      <w:pPr>
        <w:spacing w:after="0"/>
        <w:rPr>
          <w:b/>
          <w:bCs/>
        </w:rPr>
      </w:pPr>
      <w:r>
        <w:rPr>
          <w:b/>
          <w:bCs/>
        </w:rPr>
        <w:t>329</w:t>
      </w:r>
      <w:r>
        <w:rPr>
          <w:b/>
          <w:bCs/>
        </w:rPr>
        <w:tab/>
        <w:t>Ostali nespomenuti rashodi poslovanja (šifre 3291 do 3299)</w:t>
      </w:r>
    </w:p>
    <w:p w14:paraId="00D7941F" w14:textId="77777777" w:rsidR="001F716F" w:rsidRDefault="00000000">
      <w:pPr>
        <w:spacing w:line="240" w:lineRule="auto"/>
        <w:jc w:val="both"/>
      </w:pPr>
      <w:r>
        <w:t>Ostali nespomenuti rashodi poslovanja u razdoblju od 1. siječnja do 30. lipnja 2025. godine ostvareni su u iznosu od 112.739,97 €, odnosno 45,4% ili 35.183,14 € više u odnosu na iste rashode ostvarene u promatranom razdoblju 2024. godine. Na rast tih rashoda je utjecalo uvećanje rashoda za naknade za rad predstavničkih i izvršnih tijela, povjerenstava i slično za 136,1% ili 28.998,96 €, reprezentaciju za 22,6% ili 3.321,97 €, rashoda za pristojbe i naknade (novčana naknada poslodavca zbog nezapošljavanja osoba s invaliditetom, javnobilježničke pristojbe i ostale naknade i pristojbe) za 31,3% ili 5.761,94 € te ostali nespomenuti rashodi poslovanja i rashodi protokola za 12,4% ili  1.034,06 €. Umanjeni su rashodi za premije osiguranja prijevoznih sredstava i ostale imovine te rashodi za tuzemne i međunarodne članarine.</w:t>
      </w:r>
    </w:p>
    <w:p w14:paraId="695A1159" w14:textId="77777777" w:rsidR="001F716F" w:rsidRDefault="001F716F">
      <w:pPr>
        <w:keepNext/>
        <w:spacing w:line="240" w:lineRule="auto"/>
        <w:jc w:val="both"/>
      </w:pPr>
    </w:p>
    <w:p w14:paraId="3F5863FE" w14:textId="77777777" w:rsidR="001F716F" w:rsidRDefault="00000000">
      <w:pPr>
        <w:keepNext/>
        <w:spacing w:line="240" w:lineRule="auto"/>
        <w:jc w:val="center"/>
        <w:rPr>
          <w:sz w:val="28"/>
        </w:rPr>
      </w:pPr>
      <w:r>
        <w:rPr>
          <w:sz w:val="28"/>
        </w:rPr>
        <w:t>Bilješka 15.</w:t>
      </w:r>
    </w:p>
    <w:p w14:paraId="3D00D25A" w14:textId="77777777" w:rsidR="001F716F" w:rsidRDefault="00000000">
      <w:pPr>
        <w:keepNext/>
        <w:spacing w:line="240" w:lineRule="auto"/>
        <w:jc w:val="both"/>
        <w:rPr>
          <w:b/>
          <w:bCs/>
        </w:rPr>
      </w:pPr>
      <w:r>
        <w:rPr>
          <w:b/>
          <w:bCs/>
        </w:rPr>
        <w:t>351 Subvencije kreditnim i ostalim financijskim institucijama i trgovačkim društvima u javnom sektoru (šifre 3511+3512)</w:t>
      </w:r>
    </w:p>
    <w:p w14:paraId="6392A0AF" w14:textId="77777777" w:rsidR="001F716F" w:rsidRDefault="00000000">
      <w:pPr>
        <w:keepNext/>
        <w:spacing w:line="240" w:lineRule="auto"/>
        <w:jc w:val="both"/>
      </w:pPr>
      <w:r>
        <w:t xml:space="preserve">Rashodi za subvencije kreditnim institucijama i trgovačkim društvima u razdoblju od 1. siječnja do 30. lipnja 2025. godine ostvareni su u iznosu od 146.016,27 €, odnosno 34,9%  ili 37.813,38 </w:t>
      </w:r>
      <w:r>
        <w:lastRenderedPageBreak/>
        <w:t>€ više u odnosu na iste rashode ostvarene u promatranom razdoblju 2024. godine. Na rast tih rashoda je utjecalo uvećanje rashoda za subvencije trgovačkim društvima u javnom sektoru.</w:t>
      </w:r>
    </w:p>
    <w:p w14:paraId="0B2B3930" w14:textId="77777777" w:rsidR="001F716F" w:rsidRDefault="00000000">
      <w:pPr>
        <w:keepNext/>
        <w:spacing w:line="240" w:lineRule="auto"/>
        <w:jc w:val="center"/>
        <w:rPr>
          <w:sz w:val="28"/>
        </w:rPr>
      </w:pPr>
      <w:r>
        <w:rPr>
          <w:sz w:val="28"/>
        </w:rPr>
        <w:t>Bilješka 16.</w:t>
      </w:r>
    </w:p>
    <w:p w14:paraId="143D9139" w14:textId="77777777" w:rsidR="001F716F" w:rsidRDefault="00000000">
      <w:pPr>
        <w:keepNext/>
        <w:spacing w:line="240" w:lineRule="auto"/>
        <w:jc w:val="both"/>
        <w:rPr>
          <w:b/>
          <w:bCs/>
        </w:rPr>
      </w:pPr>
      <w:r>
        <w:rPr>
          <w:b/>
          <w:bCs/>
        </w:rPr>
        <w:t>352 Subvencije kreditnim i financijskim institucijama, trgovačkim društvima, zadrugama, poljoprivrednicima i obrtnicima izvan javnog sektora (šifre 3521 do 3523)</w:t>
      </w:r>
    </w:p>
    <w:p w14:paraId="18F906AF" w14:textId="77777777" w:rsidR="001F716F" w:rsidRDefault="00000000">
      <w:pPr>
        <w:keepNext/>
        <w:spacing w:line="240" w:lineRule="auto"/>
        <w:jc w:val="both"/>
      </w:pPr>
      <w:r>
        <w:t>Rashodi za navedene subvencije u razdoblju od 1. siječnja do 30. lipnja 2025. godine ostvareni su u iznosu od 59.895,53 €, odnosno 72,6%  ili 25.201,63 € više u odnosu na iste rashode ostvarene u promatranom razdoblju 2024. godine. Na rast tih rashoda je utjecalo uvećanje rashoda za subvencije trgovačkim društvima u javnom sektoru za 8,5% ili 2.697,33 € i subvencije obrtnicima i poljoprivrednicima za 787,2% ili 22.504,30 €.</w:t>
      </w:r>
    </w:p>
    <w:p w14:paraId="24822C49" w14:textId="77777777" w:rsidR="001F716F" w:rsidRDefault="001F716F">
      <w:pPr>
        <w:keepNext/>
        <w:spacing w:line="240" w:lineRule="auto"/>
        <w:jc w:val="both"/>
      </w:pPr>
    </w:p>
    <w:p w14:paraId="30E9B5A7" w14:textId="77777777" w:rsidR="001F716F" w:rsidRDefault="00000000">
      <w:pPr>
        <w:keepNext/>
        <w:spacing w:line="240" w:lineRule="auto"/>
        <w:jc w:val="center"/>
        <w:rPr>
          <w:sz w:val="28"/>
        </w:rPr>
      </w:pPr>
      <w:r>
        <w:rPr>
          <w:sz w:val="28"/>
        </w:rPr>
        <w:t>Bilješka 17.</w:t>
      </w:r>
    </w:p>
    <w:p w14:paraId="10EA85F0" w14:textId="77777777" w:rsidR="001F716F" w:rsidRDefault="00000000">
      <w:pPr>
        <w:keepNext/>
        <w:numPr>
          <w:ilvl w:val="0"/>
          <w:numId w:val="6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Prijenosi proračunskim korisnicima iz nadležnog proračuna za financiranje redovne djelatnosti (šifre 3672 do 3674)</w:t>
      </w:r>
    </w:p>
    <w:p w14:paraId="1020F97E" w14:textId="77777777" w:rsidR="001F716F" w:rsidRDefault="00000000">
      <w:pPr>
        <w:keepNext/>
        <w:spacing w:line="240" w:lineRule="auto"/>
        <w:jc w:val="both"/>
      </w:pPr>
      <w:r>
        <w:t>Rashodi za navedene prijenose u razdoblju od 1. siječnja do 30. lipnja 2025. godine ostvareni su u iznosu od 937.036,26 €, odnosno 36,2%  ili 248.897,93 € više u odnosu na iste rashode ostvarene u promatranom razdoblju 2024. godine. Na rast tih rashoda najviše  je utjecalo uvećanje rashoda za prijenose proračunskim korisnicima iz nadležnog proračuna za financiranje rashoda poslovanja za 43,7% ili 269.660,90 €, dok su rashodi za prijenose proračunskim korisnicima iz nadležnog proračuna za nabavu nefinancijske imovine umanjeni za 81,3% ili 20.762,97 €.</w:t>
      </w:r>
    </w:p>
    <w:p w14:paraId="5C101E2E" w14:textId="77777777" w:rsidR="001F716F" w:rsidRDefault="001F716F">
      <w:pPr>
        <w:keepNext/>
        <w:spacing w:line="240" w:lineRule="auto"/>
        <w:jc w:val="both"/>
      </w:pPr>
    </w:p>
    <w:p w14:paraId="7162A885" w14:textId="77777777" w:rsidR="001F716F" w:rsidRDefault="001F716F">
      <w:pPr>
        <w:keepNext/>
        <w:spacing w:line="240" w:lineRule="auto"/>
        <w:jc w:val="both"/>
      </w:pPr>
    </w:p>
    <w:p w14:paraId="70E7E00A" w14:textId="77777777" w:rsidR="001F716F" w:rsidRDefault="00000000">
      <w:pPr>
        <w:keepNext/>
        <w:spacing w:line="240" w:lineRule="auto"/>
        <w:jc w:val="center"/>
      </w:pPr>
      <w:r>
        <w:t>Bilješka 18.</w:t>
      </w:r>
    </w:p>
    <w:p w14:paraId="0A8AC4DD" w14:textId="77777777" w:rsidR="001F716F" w:rsidRDefault="00000000">
      <w:pPr>
        <w:numPr>
          <w:ilvl w:val="0"/>
          <w:numId w:val="7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Pomoći temeljem prijenosa EU sredstava (šifre 3681+3682)</w:t>
      </w:r>
    </w:p>
    <w:p w14:paraId="08AF150D" w14:textId="77777777" w:rsidR="001F716F" w:rsidRDefault="00000000">
      <w:pPr>
        <w:spacing w:line="240" w:lineRule="auto"/>
        <w:jc w:val="both"/>
      </w:pPr>
      <w:r>
        <w:t xml:space="preserve">Rashodi za kapitalne pomoći temeljem prijenosa EU sredstava u razdoblju od 1. siječnja do 30. lipnja 2025. godine nisu ostvareni u promatranom razdoblju što dovodi do velike razlike u odnosu na iste rashode u promatranom razdoblju 2024. godine. </w:t>
      </w:r>
    </w:p>
    <w:p w14:paraId="3FC74121" w14:textId="77777777" w:rsidR="001F716F" w:rsidRDefault="001F716F"/>
    <w:p w14:paraId="5A1A6BAC" w14:textId="77777777" w:rsidR="001F716F" w:rsidRDefault="00000000">
      <w:pPr>
        <w:keepNext/>
        <w:spacing w:line="240" w:lineRule="auto"/>
        <w:jc w:val="center"/>
      </w:pPr>
      <w:r>
        <w:t>Bilješka 19.</w:t>
      </w:r>
    </w:p>
    <w:p w14:paraId="42A199C6" w14:textId="77777777" w:rsidR="001F716F" w:rsidRDefault="00000000">
      <w:pPr>
        <w:spacing w:line="240" w:lineRule="auto"/>
        <w:jc w:val="both"/>
      </w:pPr>
      <w:r>
        <w:rPr>
          <w:b/>
          <w:bCs/>
        </w:rPr>
        <w:t>372</w:t>
      </w:r>
      <w:r>
        <w:rPr>
          <w:b/>
          <w:bCs/>
        </w:rPr>
        <w:tab/>
        <w:t xml:space="preserve">Ostale naknade građanima i kućanstvima iz proračuna (šifre 3721 do 3723) </w:t>
      </w:r>
      <w:r>
        <w:t>Rashodi za ostale naknade građanima i kućanstvima od 1. siječnja do 30. lipnja 2025. godine ostvareni su u iznosu od 133.744,85 €, odnosno za 13,1% ili 15.439,48 € više u odnosu na iste rashode ostvarene u promatranom razdoblju 2024. godine. Na rast tih rashoda je utjecalo uvećanje rashoda za pomoć obiteljima i kućanstvima, stipendije i školarine i ostale naknade iz proračuna u novcu.</w:t>
      </w:r>
    </w:p>
    <w:p w14:paraId="4C95172C" w14:textId="77777777" w:rsidR="001F716F" w:rsidRDefault="001F716F"/>
    <w:p w14:paraId="0EA6CF73" w14:textId="77777777" w:rsidR="001F716F" w:rsidRDefault="00000000">
      <w:pPr>
        <w:keepNext/>
        <w:spacing w:line="240" w:lineRule="auto"/>
        <w:jc w:val="center"/>
      </w:pPr>
      <w:r>
        <w:t>Bilješka 20.</w:t>
      </w:r>
    </w:p>
    <w:p w14:paraId="307127CD" w14:textId="77777777" w:rsidR="001F716F" w:rsidRDefault="00000000">
      <w:pPr>
        <w:numPr>
          <w:ilvl w:val="0"/>
          <w:numId w:val="8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Tekuće donacije (šifre 3811 do 3813) </w:t>
      </w:r>
    </w:p>
    <w:p w14:paraId="00109FB8" w14:textId="77777777" w:rsidR="001F716F" w:rsidRDefault="00000000">
      <w:pPr>
        <w:spacing w:line="240" w:lineRule="auto"/>
        <w:jc w:val="both"/>
      </w:pPr>
      <w:r>
        <w:lastRenderedPageBreak/>
        <w:t xml:space="preserve">Rashodi za tekuće donacije u razdoblju od 1. siječnja do 30. lipnja 2025. godine ostvareni su u iznosu od 689.859,72 €, odnosno 43,4% ili 208.814,78 € više u odnosu na iste rashode ostvarene u promatranom razdoblju 2024. godine. Na rast tih rashoda je utjecalo uvećanje rashoda za tekuće donacije u novcu sportskim društvima, humanitarnim organizacijama, građanima i kućanstvima te ostale tekuće donacije. </w:t>
      </w:r>
    </w:p>
    <w:p w14:paraId="18CC0AD2" w14:textId="77777777" w:rsidR="001F716F" w:rsidRDefault="001F716F"/>
    <w:p w14:paraId="66C7DDE0" w14:textId="77777777" w:rsidR="001F716F" w:rsidRDefault="00000000">
      <w:pPr>
        <w:keepNext/>
        <w:spacing w:line="240" w:lineRule="auto"/>
        <w:jc w:val="center"/>
      </w:pPr>
      <w:r>
        <w:t>Bilješka 21.</w:t>
      </w:r>
    </w:p>
    <w:p w14:paraId="1C97BBBA" w14:textId="77777777" w:rsidR="001F716F" w:rsidRDefault="00000000">
      <w:pPr>
        <w:numPr>
          <w:ilvl w:val="0"/>
          <w:numId w:val="9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Kapitalne pomoći (šifre 3861 do 3865)</w:t>
      </w:r>
    </w:p>
    <w:p w14:paraId="04099EAC" w14:textId="77777777" w:rsidR="001F716F" w:rsidRDefault="00000000">
      <w:pPr>
        <w:spacing w:line="240" w:lineRule="auto"/>
        <w:jc w:val="both"/>
      </w:pPr>
      <w:r>
        <w:t>Rashodi za tekuće donacije u razdoblju od 1. siječnja do 30. lipnja 2025. godine ostvareni su u iznosu od 6.657,03 €, odnosno 66% ili 12.940,63 € manje u odnosu na iste rashode ostvarene u promatranom razdoblju 2024. godine. Na pad tih rashoda je utjecalo umanjenje rashoda za kapitalne pomoći trgovačkim društvima izvan javnog sektora.</w:t>
      </w:r>
    </w:p>
    <w:p w14:paraId="0018E6A2" w14:textId="77777777" w:rsidR="001F716F" w:rsidRDefault="001F716F"/>
    <w:p w14:paraId="56548687" w14:textId="77777777" w:rsidR="001F716F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p w14:paraId="03B9D34C" w14:textId="77777777" w:rsidR="001F716F" w:rsidRDefault="00000000">
      <w:pPr>
        <w:keepNext/>
        <w:spacing w:line="240" w:lineRule="auto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  <w:t>Rashodi za nabavu nefinancijske imovine (šifre 41+42+43+44+45)</w:t>
      </w:r>
    </w:p>
    <w:p w14:paraId="0AEBBB17" w14:textId="77777777" w:rsidR="001F716F" w:rsidRDefault="00000000">
      <w:pPr>
        <w:spacing w:after="0"/>
      </w:pPr>
      <w:r>
        <w:t>Rashodi za nabavu nefinancijske imovine u razdoblju od 1. siječnja do 30. lipnja 2025. godine ostvareni su u iznosu od 1.593.256,58 €, odnosno 7,4% ili 71.680,34 € manje u odnosu na iste rashode ostvarene u promatranom razdoblju 2024. godine. Na pad ovih rashoda je utjecalo umanjenje rashoda za nabavu proizvedene dugotrajne imovine.</w:t>
      </w:r>
    </w:p>
    <w:p w14:paraId="107528D7" w14:textId="77777777" w:rsidR="001F716F" w:rsidRDefault="001F716F">
      <w:pPr>
        <w:spacing w:after="0"/>
      </w:pPr>
    </w:p>
    <w:p w14:paraId="79AC7E84" w14:textId="77777777" w:rsidR="001F716F" w:rsidRDefault="00000000">
      <w:pPr>
        <w:spacing w:after="0"/>
        <w:jc w:val="center"/>
      </w:pPr>
      <w:r>
        <w:t>Bilješka 23.</w:t>
      </w:r>
    </w:p>
    <w:p w14:paraId="697E99EB" w14:textId="77777777" w:rsidR="001F716F" w:rsidRDefault="001F716F">
      <w:pPr>
        <w:spacing w:after="0"/>
      </w:pPr>
    </w:p>
    <w:p w14:paraId="38E3B1E6" w14:textId="77777777" w:rsidR="001F716F" w:rsidRDefault="00000000">
      <w:pPr>
        <w:numPr>
          <w:ilvl w:val="0"/>
          <w:numId w:val="10"/>
        </w:numPr>
        <w:spacing w:after="0"/>
        <w:rPr>
          <w:b/>
          <w:bCs/>
        </w:rPr>
      </w:pPr>
      <w:r>
        <w:rPr>
          <w:b/>
          <w:bCs/>
        </w:rPr>
        <w:t>Materijalna imovina - prirodna bogatstva (šifre 4111 do 4113)</w:t>
      </w:r>
    </w:p>
    <w:p w14:paraId="122CA31E" w14:textId="77777777" w:rsidR="001F716F" w:rsidRDefault="00000000">
      <w:pPr>
        <w:spacing w:after="0"/>
      </w:pPr>
      <w:r>
        <w:t>Od 1. siječnja do 30. lipnja 2025. godine ostvareni su rashodi u iznosu od 80.509,66 €, odnosno 47,1% ili 71.680,34 € manje nego u istom razdoblju 2024. godine. Na pad ovih rashoda je utjecalo umanjenje rashoda za nabavu građevinskih zemljišta.</w:t>
      </w:r>
    </w:p>
    <w:p w14:paraId="557A7237" w14:textId="77777777" w:rsidR="001F716F" w:rsidRDefault="001F716F">
      <w:pPr>
        <w:spacing w:after="0"/>
      </w:pPr>
    </w:p>
    <w:p w14:paraId="557C8A49" w14:textId="77777777" w:rsidR="001F716F" w:rsidRDefault="001F716F">
      <w:pPr>
        <w:spacing w:after="0"/>
      </w:pPr>
    </w:p>
    <w:p w14:paraId="25D1F859" w14:textId="77777777" w:rsidR="001F716F" w:rsidRDefault="00000000">
      <w:pPr>
        <w:spacing w:after="0"/>
        <w:jc w:val="center"/>
      </w:pPr>
      <w:r>
        <w:t>Bilješka 24.</w:t>
      </w:r>
    </w:p>
    <w:p w14:paraId="03314268" w14:textId="77777777" w:rsidR="001F716F" w:rsidRDefault="001F716F">
      <w:pPr>
        <w:spacing w:after="0"/>
      </w:pPr>
    </w:p>
    <w:p w14:paraId="13CD3B9E" w14:textId="77777777" w:rsidR="001F716F" w:rsidRDefault="00000000">
      <w:pPr>
        <w:numPr>
          <w:ilvl w:val="0"/>
          <w:numId w:val="11"/>
        </w:numPr>
        <w:spacing w:after="0"/>
        <w:rPr>
          <w:b/>
          <w:bCs/>
        </w:rPr>
      </w:pPr>
      <w:r>
        <w:rPr>
          <w:b/>
          <w:bCs/>
        </w:rPr>
        <w:t>Građevinski objekti (šifre 4211 do 4214)</w:t>
      </w:r>
    </w:p>
    <w:p w14:paraId="4374D9D8" w14:textId="77777777" w:rsidR="001F716F" w:rsidRDefault="00000000">
      <w:pPr>
        <w:spacing w:after="0"/>
      </w:pPr>
      <w:r>
        <w:t xml:space="preserve">Od 1. siječnja do 30. lipnja 2025. godine ostvareni su rashodi u iznosu od 523.351,65 €, odnosno 55,7% ili 187.220,76 € više nego u istom razdoblju 2024. godine. Na rast </w:t>
      </w:r>
      <w:proofErr w:type="spellStart"/>
      <w:r>
        <w:t>ovbih</w:t>
      </w:r>
      <w:proofErr w:type="spellEnd"/>
      <w:r>
        <w:t xml:space="preserve"> rashoda je utjecalo uvećanje rashoda za poslovne građevinske objekte za 164,9% ili 133.952,98 €, rashoda za ceste za 17,8% ili 34.792,93 €, rashoda za spomenike, energetske i komunikacijske vodove, plinovod, vodovod i kanalizaciju za 30,9% ili  27.186,71 €.</w:t>
      </w:r>
    </w:p>
    <w:p w14:paraId="74D5FBD9" w14:textId="77777777" w:rsidR="001F716F" w:rsidRDefault="001F716F">
      <w:pPr>
        <w:spacing w:after="0"/>
      </w:pPr>
    </w:p>
    <w:p w14:paraId="502B9F81" w14:textId="77777777" w:rsidR="001F716F" w:rsidRDefault="001F716F">
      <w:pPr>
        <w:spacing w:after="0"/>
      </w:pPr>
    </w:p>
    <w:p w14:paraId="3492F274" w14:textId="77777777" w:rsidR="001F716F" w:rsidRDefault="00000000">
      <w:pPr>
        <w:spacing w:after="0"/>
        <w:jc w:val="center"/>
      </w:pPr>
      <w:r>
        <w:t>Bilješka 25.</w:t>
      </w:r>
    </w:p>
    <w:p w14:paraId="046C16C6" w14:textId="77777777" w:rsidR="001F716F" w:rsidRDefault="001F716F">
      <w:pPr>
        <w:spacing w:after="0"/>
      </w:pPr>
    </w:p>
    <w:p w14:paraId="41B25A1C" w14:textId="77777777" w:rsidR="001F716F" w:rsidRDefault="00000000">
      <w:pPr>
        <w:spacing w:after="0"/>
        <w:rPr>
          <w:b/>
          <w:bCs/>
        </w:rPr>
      </w:pPr>
      <w:r>
        <w:rPr>
          <w:b/>
          <w:bCs/>
        </w:rPr>
        <w:t>422Postrojenja i oprema (šifre 4221 do 4228)</w:t>
      </w:r>
    </w:p>
    <w:p w14:paraId="7237B624" w14:textId="77777777" w:rsidR="001F716F" w:rsidRDefault="00000000">
      <w:pPr>
        <w:spacing w:after="0"/>
      </w:pPr>
      <w:r>
        <w:lastRenderedPageBreak/>
        <w:t>Od 1. siječnja do 30. lipnja 2025. godine ostvareni su rashodi u iznosu od 78.359,63 €, odnosno 53,6% ili 27.349,35 € više nego u istom razdoblju 2024. godine. Rasli su rashodi za  telefone i ostale komunikacijske uređaje te računala i računalnu opremu za 224,7% ili 3.571,49 € te rashodi za opremu za 58,9% ili 26.606,97 € .</w:t>
      </w:r>
    </w:p>
    <w:p w14:paraId="5E537857" w14:textId="77777777" w:rsidR="001F716F" w:rsidRDefault="001F716F">
      <w:pPr>
        <w:spacing w:line="240" w:lineRule="auto"/>
        <w:jc w:val="both"/>
      </w:pPr>
    </w:p>
    <w:p w14:paraId="433C85C9" w14:textId="77777777" w:rsidR="001F716F" w:rsidRDefault="00000000">
      <w:pPr>
        <w:spacing w:after="0"/>
        <w:jc w:val="center"/>
      </w:pPr>
      <w:r>
        <w:t>Bilješka 26.</w:t>
      </w:r>
    </w:p>
    <w:p w14:paraId="03E5443E" w14:textId="77777777" w:rsidR="001F716F" w:rsidRDefault="001F716F">
      <w:pPr>
        <w:spacing w:after="0"/>
      </w:pPr>
    </w:p>
    <w:p w14:paraId="0D77B84C" w14:textId="77777777" w:rsidR="001F716F" w:rsidRDefault="00000000">
      <w:pPr>
        <w:spacing w:after="0"/>
        <w:rPr>
          <w:b/>
          <w:bCs/>
        </w:rPr>
      </w:pPr>
      <w:r>
        <w:rPr>
          <w:b/>
          <w:bCs/>
        </w:rPr>
        <w:t>426</w:t>
      </w:r>
      <w:r>
        <w:rPr>
          <w:b/>
          <w:bCs/>
        </w:rPr>
        <w:tab/>
        <w:t>Nematerijalna proizvedena imovina (šifre 4261 do 4264)</w:t>
      </w:r>
    </w:p>
    <w:p w14:paraId="44E5F0CF" w14:textId="77777777" w:rsidR="001F716F" w:rsidRDefault="00000000">
      <w:pPr>
        <w:spacing w:after="0"/>
      </w:pPr>
      <w:r>
        <w:t>Od 1. siječnja do 30. lipnja 2025. godine ostvareni su rashodi u iznosu od 167.425,00 €, odnosno 129,4% ili 94.427,15 € više nego u istom razdoblju 2024. godine zbog rasta rashoda za dokumente prostornog uređenja.</w:t>
      </w:r>
    </w:p>
    <w:p w14:paraId="44540DB1" w14:textId="77777777" w:rsidR="001F716F" w:rsidRDefault="001F716F">
      <w:pPr>
        <w:spacing w:line="240" w:lineRule="auto"/>
        <w:jc w:val="both"/>
      </w:pPr>
    </w:p>
    <w:p w14:paraId="679E06A1" w14:textId="77777777" w:rsidR="001F716F" w:rsidRDefault="001F716F">
      <w:pPr>
        <w:spacing w:line="240" w:lineRule="auto"/>
        <w:jc w:val="both"/>
      </w:pPr>
    </w:p>
    <w:p w14:paraId="34714BB2" w14:textId="77777777" w:rsidR="001F716F" w:rsidRDefault="00000000">
      <w:pPr>
        <w:spacing w:line="240" w:lineRule="auto"/>
        <w:jc w:val="center"/>
      </w:pPr>
      <w:r>
        <w:t>Bilješka 27.</w:t>
      </w:r>
    </w:p>
    <w:p w14:paraId="7971B324" w14:textId="77777777" w:rsidR="001F716F" w:rsidRDefault="00000000">
      <w:pPr>
        <w:numPr>
          <w:ilvl w:val="0"/>
          <w:numId w:val="12"/>
        </w:numPr>
        <w:spacing w:after="0"/>
        <w:rPr>
          <w:b/>
          <w:bCs/>
        </w:rPr>
      </w:pPr>
      <w:r>
        <w:rPr>
          <w:b/>
          <w:bCs/>
        </w:rPr>
        <w:t>Izdaci za financijsku imovinu i otplate zajmova (šifre 51+52+53+54+55)</w:t>
      </w:r>
    </w:p>
    <w:p w14:paraId="19F27739" w14:textId="77777777" w:rsidR="001F716F" w:rsidRDefault="00000000">
      <w:pPr>
        <w:spacing w:after="0"/>
      </w:pPr>
      <w:r>
        <w:t>Izdaci za financijsku imovinu i otplatu zajmova u razdoblju od 1. siječnja do 30. lipnja 2025. godine ostvareni su u iznosu od 609.141,43 €, odnosno 101,2% ili 306.409,73 € više u odnosu na iste rashode ostvarene u promatranom razdoblju 2024. godine. Odnose se na otplatu glavnice primljenih kredita i primljenih zajmova od državnog proračuna.</w:t>
      </w:r>
    </w:p>
    <w:p w14:paraId="05D48506" w14:textId="77777777" w:rsidR="001F716F" w:rsidRDefault="001F716F">
      <w:pPr>
        <w:spacing w:line="240" w:lineRule="auto"/>
        <w:jc w:val="both"/>
      </w:pPr>
    </w:p>
    <w:p w14:paraId="44FFFD50" w14:textId="77777777" w:rsidR="001F716F" w:rsidRDefault="00000000">
      <w:pPr>
        <w:spacing w:after="0"/>
        <w:jc w:val="center"/>
        <w:rPr>
          <w:b/>
          <w:bCs/>
        </w:rPr>
      </w:pPr>
      <w:r>
        <w:t>Bilješka 28.</w:t>
      </w:r>
    </w:p>
    <w:p w14:paraId="2BA5C081" w14:textId="77777777" w:rsidR="001F716F" w:rsidRDefault="00000000">
      <w:pPr>
        <w:numPr>
          <w:ilvl w:val="0"/>
          <w:numId w:val="13"/>
        </w:numPr>
        <w:spacing w:after="0"/>
        <w:rPr>
          <w:b/>
          <w:bCs/>
        </w:rPr>
      </w:pPr>
      <w:r>
        <w:rPr>
          <w:b/>
          <w:bCs/>
        </w:rPr>
        <w:t>Otplata glavnice primljenih kredita i zajmova od kreditnih i ostalih financijskih institucija izvan javnog sektora (šifre 5443 do 5448)</w:t>
      </w:r>
    </w:p>
    <w:p w14:paraId="10D6D18F" w14:textId="77777777" w:rsidR="001F716F" w:rsidRDefault="00000000">
      <w:pPr>
        <w:spacing w:after="0"/>
      </w:pPr>
      <w:r>
        <w:t xml:space="preserve">Od 1. siječnja do 30. lipnja 2025. godine ostvareni su rashodi u iznosu od 565.943,57 €, odnosno 86,9% ili 263.212,07 € više za otplatu glavnice primljenih kredita nego u istom razdoblju 2024. godine. </w:t>
      </w:r>
    </w:p>
    <w:p w14:paraId="1C32135F" w14:textId="77777777" w:rsidR="001F716F" w:rsidRDefault="001F716F"/>
    <w:p w14:paraId="481DF4BC" w14:textId="77777777" w:rsidR="001F716F" w:rsidRDefault="00000000">
      <w:pPr>
        <w:spacing w:after="0"/>
        <w:jc w:val="center"/>
        <w:rPr>
          <w:b/>
          <w:bCs/>
        </w:rPr>
      </w:pPr>
      <w:r>
        <w:t>Bilješka 29.</w:t>
      </w:r>
    </w:p>
    <w:p w14:paraId="4042A63D" w14:textId="77777777" w:rsidR="001F716F" w:rsidRDefault="00000000">
      <w:pPr>
        <w:numPr>
          <w:ilvl w:val="0"/>
          <w:numId w:val="14"/>
        </w:numPr>
        <w:spacing w:after="0"/>
        <w:rPr>
          <w:b/>
          <w:bCs/>
        </w:rPr>
      </w:pPr>
      <w:r>
        <w:rPr>
          <w:b/>
          <w:bCs/>
        </w:rPr>
        <w:t>Otplata glavnice primljenih zajmova od drugih razina vlasti (šifre 5471 do 5477)</w:t>
      </w:r>
    </w:p>
    <w:p w14:paraId="57F0591C" w14:textId="77777777" w:rsidR="001F716F" w:rsidRDefault="00000000">
      <w:pPr>
        <w:spacing w:after="0"/>
      </w:pPr>
      <w:r>
        <w:t xml:space="preserve">Od 1. siječnja do 30. lipnja 2025. godine ostvareni su rashodi u iznosu od 43.197,86 €, za otplatu glavnice primljenih zajmova od državnog proračuna koji nisu bili zabilježeni u istom razdoblju 2024. godine. </w:t>
      </w:r>
    </w:p>
    <w:p w14:paraId="3A97770A" w14:textId="77777777" w:rsidR="001F716F" w:rsidRDefault="001F716F"/>
    <w:p w14:paraId="5FBE9BBD" w14:textId="77777777" w:rsidR="001F716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E698B16" w14:textId="77777777" w:rsidR="001F716F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p w14:paraId="22099446" w14:textId="77777777" w:rsidR="001F716F" w:rsidRDefault="001F716F">
      <w:pPr>
        <w:spacing w:after="0"/>
      </w:pPr>
    </w:p>
    <w:p w14:paraId="648A0DA1" w14:textId="77777777" w:rsidR="001F716F" w:rsidRDefault="00000000">
      <w:pPr>
        <w:spacing w:line="240" w:lineRule="auto"/>
        <w:jc w:val="both"/>
      </w:pPr>
      <w:r>
        <w:t xml:space="preserve">Povećanje obveza u izvještajnom razdoblju iznosi 4.661.468,32 €, a isto se sastoji od obveza za rashode poslovanja i obveza za nabavu nefinancijske imovine, dok je početno stanje 01.01.2025. godine 1.096.879,19 € što čini ukupno 5.758.347,51 € obveza. U izvještajnom razdoblju podmirene su obveze u ukupnom iznosu od 4.176.736,58 € te na kraju izvještajnog </w:t>
      </w:r>
      <w:r>
        <w:lastRenderedPageBreak/>
        <w:t xml:space="preserve">razdoblja tj. sa 30.06.2025. godine stanje obveza iznosi 1.581.610,93 €.  Dospjele obveze na kraju izvještajnog razdoblja su evidentirane u iznosu od 287.558,29 €, dok iznos nedospjelih obveza iznosi 1.294.052,64 € i to za obveze za rashode poslovanja, nabavu nefinancijske imovine, obveze za financijsku imovinu i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14:paraId="1F39CF47" w14:textId="77777777" w:rsidR="001F716F" w:rsidRDefault="001F716F"/>
    <w:sectPr w:rsidR="001F7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BA6D" w14:textId="77777777" w:rsidR="008A348A" w:rsidRDefault="008A348A">
      <w:pPr>
        <w:spacing w:line="240" w:lineRule="auto"/>
      </w:pPr>
      <w:r>
        <w:separator/>
      </w:r>
    </w:p>
  </w:endnote>
  <w:endnote w:type="continuationSeparator" w:id="0">
    <w:p w14:paraId="15F44131" w14:textId="77777777" w:rsidR="008A348A" w:rsidRDefault="008A3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2BBA" w14:textId="77777777" w:rsidR="008A348A" w:rsidRDefault="008A348A">
      <w:pPr>
        <w:spacing w:after="0"/>
      </w:pPr>
      <w:r>
        <w:separator/>
      </w:r>
    </w:p>
  </w:footnote>
  <w:footnote w:type="continuationSeparator" w:id="0">
    <w:p w14:paraId="536F9DAB" w14:textId="77777777" w:rsidR="008A348A" w:rsidRDefault="008A34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207C4"/>
    <w:multiLevelType w:val="singleLevel"/>
    <w:tmpl w:val="8FB207C4"/>
    <w:lvl w:ilvl="0">
      <w:start w:val="7"/>
      <w:numFmt w:val="decimal"/>
      <w:lvlText w:val="%1"/>
      <w:lvlJc w:val="left"/>
    </w:lvl>
  </w:abstractNum>
  <w:abstractNum w:abstractNumId="1" w15:restartNumberingAfterBreak="0">
    <w:nsid w:val="920AD025"/>
    <w:multiLevelType w:val="singleLevel"/>
    <w:tmpl w:val="920AD025"/>
    <w:lvl w:ilvl="0">
      <w:start w:val="711"/>
      <w:numFmt w:val="decimal"/>
      <w:lvlText w:val="%1"/>
      <w:lvlJc w:val="left"/>
    </w:lvl>
  </w:abstractNum>
  <w:abstractNum w:abstractNumId="2" w15:restartNumberingAfterBreak="0">
    <w:nsid w:val="9FA479C3"/>
    <w:multiLevelType w:val="singleLevel"/>
    <w:tmpl w:val="9FA479C3"/>
    <w:lvl w:ilvl="0">
      <w:start w:val="368"/>
      <w:numFmt w:val="decimal"/>
      <w:lvlText w:val="%1"/>
      <w:lvlJc w:val="left"/>
    </w:lvl>
  </w:abstractNum>
  <w:abstractNum w:abstractNumId="3" w15:restartNumberingAfterBreak="0">
    <w:nsid w:val="C2A4EC3F"/>
    <w:multiLevelType w:val="singleLevel"/>
    <w:tmpl w:val="C2A4EC3F"/>
    <w:lvl w:ilvl="0">
      <w:start w:val="611"/>
      <w:numFmt w:val="decimal"/>
      <w:lvlText w:val="%1"/>
      <w:lvlJc w:val="left"/>
    </w:lvl>
  </w:abstractNum>
  <w:abstractNum w:abstractNumId="4" w15:restartNumberingAfterBreak="0">
    <w:nsid w:val="CD5453F2"/>
    <w:multiLevelType w:val="singleLevel"/>
    <w:tmpl w:val="CD5453F2"/>
    <w:lvl w:ilvl="0">
      <w:start w:val="367"/>
      <w:numFmt w:val="decimal"/>
      <w:lvlText w:val="%1"/>
      <w:lvlJc w:val="left"/>
    </w:lvl>
  </w:abstractNum>
  <w:abstractNum w:abstractNumId="5" w15:restartNumberingAfterBreak="0">
    <w:nsid w:val="D04C9FF8"/>
    <w:multiLevelType w:val="singleLevel"/>
    <w:tmpl w:val="D04C9FF8"/>
    <w:lvl w:ilvl="0">
      <w:start w:val="653"/>
      <w:numFmt w:val="decimal"/>
      <w:lvlText w:val="%1"/>
      <w:lvlJc w:val="left"/>
    </w:lvl>
  </w:abstractNum>
  <w:abstractNum w:abstractNumId="6" w15:restartNumberingAfterBreak="0">
    <w:nsid w:val="E19331BC"/>
    <w:multiLevelType w:val="singleLevel"/>
    <w:tmpl w:val="E19331BC"/>
    <w:lvl w:ilvl="0">
      <w:start w:val="547"/>
      <w:numFmt w:val="decimal"/>
      <w:lvlText w:val="%1"/>
      <w:lvlJc w:val="left"/>
    </w:lvl>
  </w:abstractNum>
  <w:abstractNum w:abstractNumId="7" w15:restartNumberingAfterBreak="0">
    <w:nsid w:val="E327743E"/>
    <w:multiLevelType w:val="singleLevel"/>
    <w:tmpl w:val="E327743E"/>
    <w:lvl w:ilvl="0">
      <w:start w:val="381"/>
      <w:numFmt w:val="decimal"/>
      <w:lvlText w:val="%1"/>
      <w:lvlJc w:val="left"/>
    </w:lvl>
  </w:abstractNum>
  <w:abstractNum w:abstractNumId="8" w15:restartNumberingAfterBreak="0">
    <w:nsid w:val="EE919031"/>
    <w:multiLevelType w:val="singleLevel"/>
    <w:tmpl w:val="EE919031"/>
    <w:lvl w:ilvl="0">
      <w:start w:val="421"/>
      <w:numFmt w:val="decimal"/>
      <w:lvlText w:val="%1"/>
      <w:lvlJc w:val="left"/>
    </w:lvl>
  </w:abstractNum>
  <w:abstractNum w:abstractNumId="9" w15:restartNumberingAfterBreak="0">
    <w:nsid w:val="F0DB7C75"/>
    <w:multiLevelType w:val="singleLevel"/>
    <w:tmpl w:val="F0DB7C75"/>
    <w:lvl w:ilvl="0">
      <w:start w:val="386"/>
      <w:numFmt w:val="decimal"/>
      <w:lvlText w:val="%1"/>
      <w:lvlJc w:val="left"/>
    </w:lvl>
  </w:abstractNum>
  <w:abstractNum w:abstractNumId="10" w15:restartNumberingAfterBreak="0">
    <w:nsid w:val="1E91E799"/>
    <w:multiLevelType w:val="singleLevel"/>
    <w:tmpl w:val="1E91E799"/>
    <w:lvl w:ilvl="0">
      <w:start w:val="638"/>
      <w:numFmt w:val="decimal"/>
      <w:lvlText w:val="%1"/>
      <w:lvlJc w:val="left"/>
    </w:lvl>
  </w:abstractNum>
  <w:abstractNum w:abstractNumId="11" w15:restartNumberingAfterBreak="0">
    <w:nsid w:val="5BD375AB"/>
    <w:multiLevelType w:val="singleLevel"/>
    <w:tmpl w:val="5BD375AB"/>
    <w:lvl w:ilvl="0">
      <w:start w:val="411"/>
      <w:numFmt w:val="decimal"/>
      <w:lvlText w:val="%1"/>
      <w:lvlJc w:val="left"/>
    </w:lvl>
  </w:abstractNum>
  <w:abstractNum w:abstractNumId="12" w15:restartNumberingAfterBreak="0">
    <w:nsid w:val="69C8882E"/>
    <w:multiLevelType w:val="singleLevel"/>
    <w:tmpl w:val="69C8882E"/>
    <w:lvl w:ilvl="0">
      <w:start w:val="544"/>
      <w:numFmt w:val="decimal"/>
      <w:lvlText w:val="%1"/>
      <w:lvlJc w:val="left"/>
    </w:lvl>
  </w:abstractNum>
  <w:abstractNum w:abstractNumId="13" w15:restartNumberingAfterBreak="0">
    <w:nsid w:val="6BA2E234"/>
    <w:multiLevelType w:val="singleLevel"/>
    <w:tmpl w:val="6BA2E234"/>
    <w:lvl w:ilvl="0">
      <w:start w:val="5"/>
      <w:numFmt w:val="decimal"/>
      <w:lvlText w:val="%1"/>
      <w:lvlJc w:val="left"/>
    </w:lvl>
  </w:abstractNum>
  <w:num w:numId="1" w16cid:durableId="202598673">
    <w:abstractNumId w:val="3"/>
  </w:num>
  <w:num w:numId="2" w16cid:durableId="1229610328">
    <w:abstractNumId w:val="10"/>
  </w:num>
  <w:num w:numId="3" w16cid:durableId="1454711281">
    <w:abstractNumId w:val="5"/>
  </w:num>
  <w:num w:numId="4" w16cid:durableId="1370884578">
    <w:abstractNumId w:val="0"/>
  </w:num>
  <w:num w:numId="5" w16cid:durableId="1387148679">
    <w:abstractNumId w:val="1"/>
  </w:num>
  <w:num w:numId="6" w16cid:durableId="755052818">
    <w:abstractNumId w:val="4"/>
  </w:num>
  <w:num w:numId="7" w16cid:durableId="502286681">
    <w:abstractNumId w:val="2"/>
  </w:num>
  <w:num w:numId="8" w16cid:durableId="1920288507">
    <w:abstractNumId w:val="7"/>
  </w:num>
  <w:num w:numId="9" w16cid:durableId="1203591145">
    <w:abstractNumId w:val="9"/>
  </w:num>
  <w:num w:numId="10" w16cid:durableId="1386637479">
    <w:abstractNumId w:val="11"/>
  </w:num>
  <w:num w:numId="11" w16cid:durableId="579212928">
    <w:abstractNumId w:val="8"/>
  </w:num>
  <w:num w:numId="12" w16cid:durableId="1743943043">
    <w:abstractNumId w:val="13"/>
  </w:num>
  <w:num w:numId="13" w16cid:durableId="1780833185">
    <w:abstractNumId w:val="12"/>
  </w:num>
  <w:num w:numId="14" w16cid:durableId="1225606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54"/>
    <w:rsid w:val="001F716F"/>
    <w:rsid w:val="00323FB0"/>
    <w:rsid w:val="003A40AA"/>
    <w:rsid w:val="00566C8F"/>
    <w:rsid w:val="005F5154"/>
    <w:rsid w:val="00605ACB"/>
    <w:rsid w:val="0077424B"/>
    <w:rsid w:val="008A348A"/>
    <w:rsid w:val="009F2A62"/>
    <w:rsid w:val="00AB7F37"/>
    <w:rsid w:val="00EE1A0B"/>
    <w:rsid w:val="017161FC"/>
    <w:rsid w:val="025046A3"/>
    <w:rsid w:val="04176898"/>
    <w:rsid w:val="043717A0"/>
    <w:rsid w:val="04835883"/>
    <w:rsid w:val="049477DA"/>
    <w:rsid w:val="06B562E8"/>
    <w:rsid w:val="08290D98"/>
    <w:rsid w:val="08AF3FD1"/>
    <w:rsid w:val="0E4B6465"/>
    <w:rsid w:val="0F4D28CD"/>
    <w:rsid w:val="12002A7A"/>
    <w:rsid w:val="13CD63B6"/>
    <w:rsid w:val="14601CDD"/>
    <w:rsid w:val="14F5469F"/>
    <w:rsid w:val="16C277A4"/>
    <w:rsid w:val="176F0992"/>
    <w:rsid w:val="1B350C43"/>
    <w:rsid w:val="1B872F4B"/>
    <w:rsid w:val="1BB70974"/>
    <w:rsid w:val="1DC36CC0"/>
    <w:rsid w:val="1FF6033D"/>
    <w:rsid w:val="22E001CD"/>
    <w:rsid w:val="29224DCC"/>
    <w:rsid w:val="2AF72C1D"/>
    <w:rsid w:val="2FC36614"/>
    <w:rsid w:val="30423B01"/>
    <w:rsid w:val="31AB2D0C"/>
    <w:rsid w:val="324C0F0A"/>
    <w:rsid w:val="3B632A38"/>
    <w:rsid w:val="3C6842AF"/>
    <w:rsid w:val="3D682B84"/>
    <w:rsid w:val="3D9138B6"/>
    <w:rsid w:val="3F0F65E3"/>
    <w:rsid w:val="406E69AA"/>
    <w:rsid w:val="45EF6800"/>
    <w:rsid w:val="47150C33"/>
    <w:rsid w:val="473A77AC"/>
    <w:rsid w:val="498E7676"/>
    <w:rsid w:val="49DB623C"/>
    <w:rsid w:val="4A5133DE"/>
    <w:rsid w:val="4E7C7447"/>
    <w:rsid w:val="51E7254E"/>
    <w:rsid w:val="546B6C3A"/>
    <w:rsid w:val="553A6DFA"/>
    <w:rsid w:val="57A32ABB"/>
    <w:rsid w:val="59E643BB"/>
    <w:rsid w:val="5A537FDD"/>
    <w:rsid w:val="5D145A40"/>
    <w:rsid w:val="5D411131"/>
    <w:rsid w:val="5EBE6B36"/>
    <w:rsid w:val="5EFA674A"/>
    <w:rsid w:val="61612AA2"/>
    <w:rsid w:val="6175118B"/>
    <w:rsid w:val="627205DD"/>
    <w:rsid w:val="63CC208F"/>
    <w:rsid w:val="6506096E"/>
    <w:rsid w:val="65F43F54"/>
    <w:rsid w:val="69832B0B"/>
    <w:rsid w:val="6BCF7137"/>
    <w:rsid w:val="6CD1596A"/>
    <w:rsid w:val="6DF01130"/>
    <w:rsid w:val="7124206F"/>
    <w:rsid w:val="71A4314A"/>
    <w:rsid w:val="73B61DD8"/>
    <w:rsid w:val="77D715A4"/>
    <w:rsid w:val="7B681EC1"/>
    <w:rsid w:val="7B7D212C"/>
    <w:rsid w:val="7E061DC2"/>
    <w:rsid w:val="7F71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0A0B"/>
  <w15:docId w15:val="{8D5524DD-222D-47F9-AE29-1ECF5C21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eastAsiaTheme="minorEastAsia" w:cstheme="minorBidi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2527</Words>
  <Characters>14406</Characters>
  <Application>Microsoft Office Word</Application>
  <DocSecurity>0</DocSecurity>
  <Lines>120</Lines>
  <Paragraphs>33</Paragraphs>
  <ScaleCrop>false</ScaleCrop>
  <Company/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2</cp:revision>
  <dcterms:created xsi:type="dcterms:W3CDTF">2025-10-23T11:04:00Z</dcterms:created>
  <dcterms:modified xsi:type="dcterms:W3CDTF">2025-10-23T11:04:00Z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99F7C2FC99004AAAB41DA79A39C5023D_13</vt:lpwstr>
  </property>
</Properties>
</file>